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E27" w:rsidRDefault="00273E27" w:rsidP="00273E27">
      <w:pPr>
        <w:pStyle w:val="Style2"/>
        <w:rPr>
          <w:b/>
          <w:bCs/>
          <w:sz w:val="28"/>
          <w:szCs w:val="28"/>
        </w:rPr>
      </w:pPr>
      <w:r>
        <w:rPr>
          <w:rFonts w:hint="cs"/>
          <w:b/>
          <w:bCs/>
          <w:sz w:val="28"/>
          <w:szCs w:val="28"/>
          <w:rtl/>
        </w:rPr>
        <w:t>-1 مقدمه</w:t>
      </w:r>
      <w:bookmarkStart w:id="0" w:name="_Toc489438786"/>
    </w:p>
    <w:bookmarkEnd w:id="0"/>
    <w:p w:rsidR="00273E27" w:rsidRDefault="00273E27" w:rsidP="00273E27">
      <w:pPr>
        <w:bidi/>
        <w:jc w:val="lowKashida"/>
        <w:rPr>
          <w:rFonts w:cs="B Lotus" w:hint="cs"/>
          <w:sz w:val="28"/>
          <w:szCs w:val="28"/>
          <w:rtl/>
          <w:lang w:bidi="fa-IR"/>
        </w:rPr>
      </w:pPr>
      <w:r>
        <w:rPr>
          <w:rFonts w:cs="B Lotus" w:hint="cs"/>
          <w:sz w:val="28"/>
          <w:szCs w:val="28"/>
          <w:rtl/>
        </w:rPr>
        <w:t xml:space="preserve">در طی </w:t>
      </w:r>
      <w:r>
        <w:rPr>
          <w:rFonts w:cs="B Lotus" w:hint="cs"/>
          <w:sz w:val="28"/>
          <w:szCs w:val="28"/>
          <w:rtl/>
          <w:lang w:bidi="fa-IR"/>
        </w:rPr>
        <w:t>سالیان گذشته، ورود فناوری های الکترونیکی، به ویژه اینترنت در سازمان ها، مزیت های بسیاری را برای سازمان و کارکنان آن فراهم کرده است، با این وجود فناوری های نوین از جمله اینترنت، پیامدهای منفی نیز در پی داشته اند. نوع استفاده و استفاده افراطی از اینترنت، در سازمان های ما با افزایش مشکلات اجتماعی و فردی هموار بوده است. که یکی از موارد سوء استفاده از اینترنت در فضای کسب و کار، پدیده طفره روی اینترنتی است. طفره روی اینترنتی را می توان استفاده از اینترنت سازمان در جهت انجام کارهای شخصی، هم چون خواندن و ارسال ایمیل های شخصی، خواندن مطالب، سایت ها و وبلاگ های خبری و بازی و سرگرمی تعریف کرد. تحقیقات نشان می دهد که سازمان نقش مهمی در الگوهای رفتاری بر عهده دارد. یکی از عوامل سازمانی تأثیرگذار بر طفره روی اینترنتی ساختار سازمانی می باشد. ساختاری را که مدیریت برای سازمان بر می گزیند، معرف نوع سازمان و خصوصیت آن می باشد. انتخاب این ساختار به طور مستقیم با اندازه و سازمان وتعداد کارکنان مرتبط می شود و بر بهره وری آنان تأثیر می گذارد. لذا ساختار سازمان به عنوان فاکتوری تأثیر گذار بر رفتارهای انحرافی حائز اهمیت است.</w:t>
      </w:r>
    </w:p>
    <w:p w:rsidR="00273E27" w:rsidRDefault="00273E27" w:rsidP="00273E27">
      <w:pPr>
        <w:bidi/>
        <w:jc w:val="lowKashida"/>
        <w:rPr>
          <w:rFonts w:cs="B Lotus" w:hint="cs"/>
          <w:sz w:val="28"/>
          <w:szCs w:val="28"/>
          <w:rtl/>
          <w:lang w:bidi="fa-IR"/>
        </w:rPr>
      </w:pPr>
      <w:r>
        <w:rPr>
          <w:rFonts w:cs="B Lotus" w:hint="cs"/>
          <w:sz w:val="28"/>
          <w:szCs w:val="28"/>
          <w:rtl/>
        </w:rPr>
        <w:t>علاوه بر این متغیر دیگری که در این پژوهش مورد بررسی قرار گرفته خواهد شد، کانون کنترل افراد است، بدین معنا که افراد تصمیم ها و نتایج حاصل از آن را به خود ربط می دهند یا به عوامل بیرونی و دیگران؟ كساني كه</w:t>
      </w:r>
      <w:r>
        <w:rPr>
          <w:rFonts w:cs="B Lotus" w:hint="cs"/>
          <w:sz w:val="28"/>
          <w:szCs w:val="28"/>
          <w:lang w:bidi="fa-IR"/>
        </w:rPr>
        <w:t xml:space="preserve"> </w:t>
      </w:r>
      <w:r>
        <w:rPr>
          <w:rFonts w:cs="B Lotus" w:hint="cs"/>
          <w:sz w:val="28"/>
          <w:szCs w:val="28"/>
          <w:rtl/>
        </w:rPr>
        <w:t>كانون</w:t>
      </w:r>
      <w:r>
        <w:rPr>
          <w:rFonts w:cs="B Lotus" w:hint="cs"/>
          <w:sz w:val="28"/>
          <w:szCs w:val="28"/>
          <w:lang w:bidi="fa-IR"/>
        </w:rPr>
        <w:t xml:space="preserve"> </w:t>
      </w:r>
      <w:r>
        <w:rPr>
          <w:rFonts w:cs="B Lotus" w:hint="cs"/>
          <w:sz w:val="28"/>
          <w:szCs w:val="28"/>
          <w:rtl/>
        </w:rPr>
        <w:t>كنترل</w:t>
      </w:r>
      <w:r>
        <w:rPr>
          <w:rFonts w:cs="B Lotus" w:hint="cs"/>
          <w:sz w:val="28"/>
          <w:szCs w:val="28"/>
          <w:lang w:bidi="fa-IR"/>
        </w:rPr>
        <w:t xml:space="preserve"> </w:t>
      </w:r>
      <w:r>
        <w:rPr>
          <w:rFonts w:cs="B Lotus" w:hint="cs"/>
          <w:sz w:val="28"/>
          <w:szCs w:val="28"/>
          <w:rtl/>
        </w:rPr>
        <w:t>دروني</w:t>
      </w:r>
      <w:r>
        <w:rPr>
          <w:rFonts w:cs="B Lotus" w:hint="cs"/>
          <w:sz w:val="28"/>
          <w:szCs w:val="28"/>
          <w:lang w:bidi="fa-IR"/>
        </w:rPr>
        <w:t xml:space="preserve"> </w:t>
      </w:r>
      <w:r>
        <w:rPr>
          <w:rFonts w:cs="B Lotus" w:hint="cs"/>
          <w:sz w:val="28"/>
          <w:szCs w:val="28"/>
          <w:rtl/>
        </w:rPr>
        <w:t>دارند</w:t>
      </w:r>
      <w:r>
        <w:rPr>
          <w:rFonts w:cs="B Lotus" w:hint="cs"/>
          <w:sz w:val="28"/>
          <w:szCs w:val="28"/>
          <w:lang w:bidi="fa-IR"/>
        </w:rPr>
        <w:t xml:space="preserve"> </w:t>
      </w:r>
      <w:r>
        <w:rPr>
          <w:rFonts w:cs="B Lotus" w:hint="cs"/>
          <w:sz w:val="28"/>
          <w:szCs w:val="28"/>
          <w:rtl/>
        </w:rPr>
        <w:t>بر</w:t>
      </w:r>
      <w:r>
        <w:rPr>
          <w:rFonts w:cs="B Lotus" w:hint="cs"/>
          <w:sz w:val="28"/>
          <w:szCs w:val="28"/>
          <w:lang w:bidi="fa-IR"/>
        </w:rPr>
        <w:t xml:space="preserve"> </w:t>
      </w:r>
      <w:r>
        <w:rPr>
          <w:rFonts w:cs="B Lotus" w:hint="cs"/>
          <w:sz w:val="28"/>
          <w:szCs w:val="28"/>
          <w:rtl/>
        </w:rPr>
        <w:t>اين</w:t>
      </w:r>
      <w:r>
        <w:rPr>
          <w:rFonts w:cs="B Lotus" w:hint="cs"/>
          <w:sz w:val="28"/>
          <w:szCs w:val="28"/>
          <w:lang w:bidi="fa-IR"/>
        </w:rPr>
        <w:t xml:space="preserve"> </w:t>
      </w:r>
      <w:r>
        <w:rPr>
          <w:rFonts w:cs="B Lotus" w:hint="cs"/>
          <w:sz w:val="28"/>
          <w:szCs w:val="28"/>
          <w:rtl/>
        </w:rPr>
        <w:t>باورند</w:t>
      </w:r>
      <w:r>
        <w:rPr>
          <w:rFonts w:cs="B Lotus" w:hint="cs"/>
          <w:sz w:val="28"/>
          <w:szCs w:val="28"/>
          <w:lang w:bidi="fa-IR"/>
        </w:rPr>
        <w:t xml:space="preserve"> </w:t>
      </w:r>
      <w:r>
        <w:rPr>
          <w:rFonts w:cs="B Lotus" w:hint="cs"/>
          <w:sz w:val="28"/>
          <w:szCs w:val="28"/>
          <w:rtl/>
        </w:rPr>
        <w:t>مي</w:t>
      </w:r>
      <w:r>
        <w:rPr>
          <w:rFonts w:cs="B Lotus" w:hint="cs"/>
          <w:sz w:val="28"/>
          <w:szCs w:val="28"/>
          <w:lang w:bidi="fa-IR"/>
        </w:rPr>
        <w:t xml:space="preserve"> </w:t>
      </w:r>
      <w:r>
        <w:rPr>
          <w:rFonts w:cs="B Lotus" w:hint="cs"/>
          <w:sz w:val="28"/>
          <w:szCs w:val="28"/>
          <w:rtl/>
        </w:rPr>
        <w:t>توانند</w:t>
      </w:r>
      <w:r>
        <w:rPr>
          <w:rFonts w:cs="B Lotus" w:hint="cs"/>
          <w:sz w:val="28"/>
          <w:szCs w:val="28"/>
          <w:lang w:bidi="fa-IR"/>
        </w:rPr>
        <w:t xml:space="preserve"> </w:t>
      </w:r>
      <w:r>
        <w:rPr>
          <w:rFonts w:cs="B Lotus" w:hint="cs"/>
          <w:sz w:val="28"/>
          <w:szCs w:val="28"/>
          <w:rtl/>
        </w:rPr>
        <w:t>سرنوشت</w:t>
      </w:r>
      <w:r>
        <w:rPr>
          <w:rFonts w:cs="B Lotus" w:hint="cs"/>
          <w:sz w:val="28"/>
          <w:szCs w:val="28"/>
          <w:lang w:bidi="fa-IR"/>
        </w:rPr>
        <w:t xml:space="preserve"> </w:t>
      </w:r>
      <w:r>
        <w:rPr>
          <w:rFonts w:cs="B Lotus" w:hint="cs"/>
          <w:sz w:val="28"/>
          <w:szCs w:val="28"/>
          <w:rtl/>
        </w:rPr>
        <w:t>خويش</w:t>
      </w:r>
      <w:r>
        <w:rPr>
          <w:rFonts w:cs="B Lotus" w:hint="cs"/>
          <w:sz w:val="28"/>
          <w:szCs w:val="28"/>
          <w:lang w:bidi="fa-IR"/>
        </w:rPr>
        <w:t xml:space="preserve"> </w:t>
      </w:r>
      <w:r>
        <w:rPr>
          <w:rFonts w:cs="B Lotus" w:hint="cs"/>
          <w:sz w:val="28"/>
          <w:szCs w:val="28"/>
          <w:rtl/>
        </w:rPr>
        <w:t>را</w:t>
      </w:r>
      <w:r>
        <w:rPr>
          <w:rFonts w:cs="B Lotus" w:hint="cs"/>
          <w:sz w:val="28"/>
          <w:szCs w:val="28"/>
          <w:lang w:bidi="fa-IR"/>
        </w:rPr>
        <w:t xml:space="preserve"> </w:t>
      </w:r>
      <w:r>
        <w:rPr>
          <w:rFonts w:cs="B Lotus" w:hint="cs"/>
          <w:sz w:val="28"/>
          <w:szCs w:val="28"/>
          <w:rtl/>
        </w:rPr>
        <w:t>رقم</w:t>
      </w:r>
      <w:r>
        <w:rPr>
          <w:rFonts w:cs="B Lotus" w:hint="cs"/>
          <w:sz w:val="28"/>
          <w:szCs w:val="28"/>
          <w:lang w:bidi="fa-IR"/>
        </w:rPr>
        <w:t xml:space="preserve"> </w:t>
      </w:r>
      <w:r>
        <w:rPr>
          <w:rFonts w:cs="B Lotus" w:hint="cs"/>
          <w:sz w:val="28"/>
          <w:szCs w:val="28"/>
          <w:rtl/>
        </w:rPr>
        <w:t>بزنند؛ در مقابل</w:t>
      </w:r>
      <w:r>
        <w:rPr>
          <w:rFonts w:cs="B Lotus" w:hint="cs"/>
          <w:sz w:val="28"/>
          <w:szCs w:val="28"/>
          <w:lang w:bidi="fa-IR"/>
        </w:rPr>
        <w:t xml:space="preserve"> </w:t>
      </w:r>
      <w:r>
        <w:rPr>
          <w:rFonts w:cs="B Lotus" w:hint="cs"/>
          <w:sz w:val="28"/>
          <w:szCs w:val="28"/>
          <w:rtl/>
        </w:rPr>
        <w:t>كساني</w:t>
      </w:r>
      <w:r>
        <w:rPr>
          <w:rFonts w:cs="B Lotus" w:hint="cs"/>
          <w:sz w:val="28"/>
          <w:szCs w:val="28"/>
          <w:lang w:bidi="fa-IR"/>
        </w:rPr>
        <w:t xml:space="preserve"> </w:t>
      </w:r>
      <w:r>
        <w:rPr>
          <w:rFonts w:cs="B Lotus" w:hint="cs"/>
          <w:sz w:val="28"/>
          <w:szCs w:val="28"/>
          <w:rtl/>
        </w:rPr>
        <w:t>كه</w:t>
      </w:r>
      <w:r>
        <w:rPr>
          <w:rFonts w:cs="B Lotus" w:hint="cs"/>
          <w:sz w:val="28"/>
          <w:szCs w:val="28"/>
          <w:lang w:bidi="fa-IR"/>
        </w:rPr>
        <w:t xml:space="preserve"> </w:t>
      </w:r>
      <w:r>
        <w:rPr>
          <w:rFonts w:cs="B Lotus" w:hint="cs"/>
          <w:sz w:val="28"/>
          <w:szCs w:val="28"/>
          <w:rtl/>
        </w:rPr>
        <w:t>زندگي</w:t>
      </w:r>
      <w:r>
        <w:rPr>
          <w:rFonts w:cs="B Lotus" w:hint="cs"/>
          <w:sz w:val="28"/>
          <w:szCs w:val="28"/>
          <w:lang w:bidi="fa-IR"/>
        </w:rPr>
        <w:t xml:space="preserve"> </w:t>
      </w:r>
      <w:r>
        <w:rPr>
          <w:rFonts w:cs="B Lotus" w:hint="cs"/>
          <w:sz w:val="28"/>
          <w:szCs w:val="28"/>
          <w:rtl/>
        </w:rPr>
        <w:t>خود</w:t>
      </w:r>
      <w:r>
        <w:rPr>
          <w:rFonts w:cs="B Lotus" w:hint="cs"/>
          <w:sz w:val="28"/>
          <w:szCs w:val="28"/>
          <w:lang w:bidi="fa-IR"/>
        </w:rPr>
        <w:t xml:space="preserve"> </w:t>
      </w:r>
      <w:r>
        <w:rPr>
          <w:rFonts w:cs="B Lotus" w:hint="cs"/>
          <w:sz w:val="28"/>
          <w:szCs w:val="28"/>
          <w:rtl/>
        </w:rPr>
        <w:t>را</w:t>
      </w:r>
      <w:r>
        <w:rPr>
          <w:rFonts w:cs="B Lotus" w:hint="cs"/>
          <w:sz w:val="28"/>
          <w:szCs w:val="28"/>
          <w:lang w:bidi="fa-IR"/>
        </w:rPr>
        <w:t xml:space="preserve"> </w:t>
      </w:r>
      <w:r>
        <w:rPr>
          <w:rFonts w:cs="B Lotus" w:hint="cs"/>
          <w:sz w:val="28"/>
          <w:szCs w:val="28"/>
          <w:rtl/>
        </w:rPr>
        <w:t>دستاويز</w:t>
      </w:r>
      <w:r>
        <w:rPr>
          <w:rFonts w:cs="B Lotus" w:hint="cs"/>
          <w:sz w:val="28"/>
          <w:szCs w:val="28"/>
          <w:lang w:bidi="fa-IR"/>
        </w:rPr>
        <w:t xml:space="preserve"> </w:t>
      </w:r>
      <w:r>
        <w:rPr>
          <w:rFonts w:cs="B Lotus" w:hint="cs"/>
          <w:sz w:val="28"/>
          <w:szCs w:val="28"/>
          <w:rtl/>
        </w:rPr>
        <w:t>عوامل</w:t>
      </w:r>
      <w:r>
        <w:rPr>
          <w:rFonts w:cs="B Lotus" w:hint="cs"/>
          <w:sz w:val="28"/>
          <w:szCs w:val="28"/>
          <w:lang w:bidi="fa-IR"/>
        </w:rPr>
        <w:t xml:space="preserve"> </w:t>
      </w:r>
      <w:r>
        <w:rPr>
          <w:rFonts w:cs="B Lotus" w:hint="cs"/>
          <w:sz w:val="28"/>
          <w:szCs w:val="28"/>
          <w:rtl/>
        </w:rPr>
        <w:t>خارجي</w:t>
      </w:r>
      <w:r>
        <w:rPr>
          <w:rFonts w:cs="B Lotus" w:hint="cs"/>
          <w:sz w:val="28"/>
          <w:szCs w:val="28"/>
          <w:lang w:bidi="fa-IR"/>
        </w:rPr>
        <w:t xml:space="preserve"> </w:t>
      </w:r>
      <w:r>
        <w:rPr>
          <w:rFonts w:cs="B Lotus" w:hint="cs"/>
          <w:sz w:val="28"/>
          <w:szCs w:val="28"/>
          <w:rtl/>
        </w:rPr>
        <w:t>مي</w:t>
      </w:r>
      <w:r>
        <w:rPr>
          <w:rFonts w:cs="B Lotus" w:hint="cs"/>
          <w:sz w:val="28"/>
          <w:szCs w:val="28"/>
          <w:lang w:bidi="fa-IR"/>
        </w:rPr>
        <w:t xml:space="preserve"> </w:t>
      </w:r>
      <w:r>
        <w:rPr>
          <w:rFonts w:cs="B Lotus" w:hint="cs"/>
          <w:sz w:val="28"/>
          <w:szCs w:val="28"/>
          <w:rtl/>
        </w:rPr>
        <w:t>دانند،</w:t>
      </w:r>
      <w:r>
        <w:rPr>
          <w:rFonts w:cs="B Lotus" w:hint="cs"/>
          <w:sz w:val="28"/>
          <w:szCs w:val="28"/>
          <w:lang w:bidi="fa-IR"/>
        </w:rPr>
        <w:t xml:space="preserve"> </w:t>
      </w:r>
      <w:r>
        <w:rPr>
          <w:rFonts w:cs="B Lotus" w:hint="cs"/>
          <w:sz w:val="28"/>
          <w:szCs w:val="28"/>
          <w:rtl/>
        </w:rPr>
        <w:t>کانون کنترل بیرونی دارند.</w:t>
      </w:r>
    </w:p>
    <w:p w:rsidR="00273E27" w:rsidRDefault="00273E27" w:rsidP="00273E27">
      <w:pPr>
        <w:bidi/>
        <w:jc w:val="lowKashida"/>
        <w:rPr>
          <w:rFonts w:cs="B Lotus"/>
          <w:sz w:val="28"/>
          <w:szCs w:val="28"/>
          <w:lang w:bidi="fa-IR"/>
        </w:rPr>
      </w:pPr>
      <w:r>
        <w:rPr>
          <w:rFonts w:cs="B Lotus" w:hint="cs"/>
          <w:sz w:val="28"/>
          <w:szCs w:val="28"/>
          <w:rtl/>
        </w:rPr>
        <w:t xml:space="preserve"> آگاهی کارکنان دانشگاه از ساختار سازمانی  و کانون کنترل افراد به آنها کمک می کند تا با شخصیت و نوع رفتار ارباب رجوع باشد، لذا بدین منظور در این فصل پس از بیان مساله، اهمیت و ضرورت تحقیق، اهداف تحقیق، فرضیه ها، تعاریف واژه ها، مفاهیم و متغیرهای تحقیق مورد بررسی قرار خواهند گرفت.  </w:t>
      </w:r>
    </w:p>
    <w:p w:rsidR="00273E27" w:rsidRDefault="00273E27" w:rsidP="00273E27">
      <w:pPr>
        <w:bidi/>
        <w:jc w:val="lowKashida"/>
        <w:rPr>
          <w:rFonts w:cs="B Lotus"/>
          <w:b/>
          <w:bCs/>
          <w:sz w:val="28"/>
          <w:szCs w:val="28"/>
          <w:lang w:bidi="fa-IR"/>
        </w:rPr>
      </w:pPr>
    </w:p>
    <w:p w:rsidR="00273E27" w:rsidRDefault="00273E27" w:rsidP="00273E27">
      <w:pPr>
        <w:bidi/>
        <w:jc w:val="lowKashida"/>
        <w:rPr>
          <w:rFonts w:cs="B Lotus" w:hint="cs"/>
          <w:b/>
          <w:bCs/>
          <w:sz w:val="28"/>
          <w:szCs w:val="28"/>
          <w:rtl/>
          <w:lang w:bidi="fa-IR"/>
        </w:rPr>
      </w:pPr>
      <w:r>
        <w:rPr>
          <w:rFonts w:cs="B Lotus" w:hint="cs"/>
          <w:b/>
          <w:bCs/>
          <w:sz w:val="28"/>
          <w:szCs w:val="28"/>
          <w:rtl/>
          <w:lang w:bidi="fa-IR"/>
        </w:rPr>
        <w:t xml:space="preserve">1-2 بیان مسئله </w:t>
      </w:r>
    </w:p>
    <w:p w:rsidR="00273E27" w:rsidRDefault="00273E27" w:rsidP="00273E27">
      <w:pPr>
        <w:bidi/>
        <w:jc w:val="lowKashida"/>
        <w:rPr>
          <w:rFonts w:cs="B Lotus" w:hint="cs"/>
          <w:sz w:val="28"/>
          <w:szCs w:val="28"/>
          <w:rtl/>
          <w:lang w:bidi="fa-IR"/>
        </w:rPr>
      </w:pPr>
      <w:r>
        <w:rPr>
          <w:rFonts w:cs="B Lotus" w:hint="cs"/>
          <w:sz w:val="28"/>
          <w:szCs w:val="28"/>
          <w:rtl/>
          <w:lang w:bidi="fa-IR"/>
        </w:rPr>
        <w:t>در دهه های اخیر گسترش روز افزون  فناوری اطلاعات و ارتباطات منجر به تمرکز توجه مدیران بر این موضوع شده است که چه دلایلی، چگونه باعث می شوند که کارکنان به استفاده شخصی از اینترنت در محل کار خود بپردازند. این استفاده شخصی از اینترنت در برگیرنده انجام فعالیت های غیرمرتبط کاری کارکنان به وسیله استفاده از اینترنت در محل کار می باشد. این موضوع یک مساله مهم و پرهزینه برای سازمان ها محسوب می شود که هم از بعد اجتماعی و هم از نظر مالی بر آن ها تأثیر می گذارد. یکی از مظاهر این قبیل فعالیت های اینترنتی، طفره روی اینترنتی نام دارد(ذوقبی و ویراآرمس</w:t>
      </w:r>
      <w:r>
        <w:rPr>
          <w:rFonts w:cs="B Lotus" w:hint="cs"/>
          <w:sz w:val="28"/>
          <w:szCs w:val="28"/>
          <w:lang w:bidi="fa-IR"/>
        </w:rPr>
        <w:t xml:space="preserve"> </w:t>
      </w:r>
      <w:r>
        <w:rPr>
          <w:rFonts w:cs="B Lotus"/>
          <w:sz w:val="28"/>
          <w:szCs w:val="28"/>
          <w:vertAlign w:val="superscript"/>
          <w:rtl/>
          <w:lang w:bidi="fa-IR"/>
        </w:rPr>
        <w:footnoteReference w:id="1"/>
      </w:r>
      <w:r>
        <w:rPr>
          <w:rFonts w:cs="B Lotus" w:hint="cs"/>
          <w:sz w:val="28"/>
          <w:szCs w:val="28"/>
          <w:rtl/>
          <w:lang w:bidi="fa-IR"/>
        </w:rPr>
        <w:t xml:space="preserve">، 2017) . تکنولوژی موجب ایجاد انقلابی شده است که همانند شمشیر دو لبه عمل می کند. در این ارتباط، غیر ممکن است که بتوان از </w:t>
      </w:r>
      <w:r>
        <w:rPr>
          <w:rFonts w:cs="B Lotus" w:hint="cs"/>
          <w:sz w:val="28"/>
          <w:szCs w:val="28"/>
          <w:rtl/>
          <w:lang w:bidi="fa-IR"/>
        </w:rPr>
        <w:lastRenderedPageBreak/>
        <w:t>بخش تاریک استفاده از اینترنت در کار غفلت نمود، زیرا اینترنت نیز همانند هر وسیله دیگری که وارد دنیای کنونی می شود، مزایا و معایب خاص خود را برای سازمان ها در پی دارد. در این راستا، در حالی که کارکنان زمان زیادی را صرف کار با اینترنت در جهت انجام وظایف کاری خود می نمایند، این احتمال وجود دارد که در برخی از موارد از این تکنولوژی برای امور شخصی و غیر مرتبط با کار خود طی ساعات کاری استفاده کنند(هنل، کوهت و بوث</w:t>
      </w:r>
      <w:r>
        <w:rPr>
          <w:rFonts w:cs="B Lotus"/>
          <w:sz w:val="28"/>
          <w:szCs w:val="28"/>
          <w:vertAlign w:val="superscript"/>
          <w:rtl/>
          <w:lang w:bidi="fa-IR"/>
        </w:rPr>
        <w:footnoteReference w:id="2"/>
      </w:r>
      <w:r>
        <w:rPr>
          <w:rFonts w:cs="B Lotus" w:hint="cs"/>
          <w:sz w:val="28"/>
          <w:szCs w:val="28"/>
          <w:rtl/>
          <w:lang w:bidi="fa-IR"/>
        </w:rPr>
        <w:t>، 2009) . هر نوع استفاده داوطلبانه و بی هدف از اینترنت در دسترس و سرگرم شدن با فعالیت های غیرمرتبط با کار در قالب یک روند منظم و با قاعده و تااندازه ای به دلیل عدم خودکنترلی در کار تحت عنوان طفره روی اینترنتی اتفاق می افتد(کیم و ببرن</w:t>
      </w:r>
      <w:r>
        <w:rPr>
          <w:rFonts w:cs="B Lotus"/>
          <w:sz w:val="28"/>
          <w:szCs w:val="28"/>
          <w:vertAlign w:val="superscript"/>
          <w:rtl/>
          <w:lang w:bidi="fa-IR"/>
        </w:rPr>
        <w:footnoteReference w:id="3"/>
      </w:r>
      <w:r>
        <w:rPr>
          <w:rFonts w:cs="B Lotus" w:hint="cs"/>
          <w:sz w:val="28"/>
          <w:szCs w:val="28"/>
          <w:rtl/>
          <w:lang w:bidi="fa-IR"/>
        </w:rPr>
        <w:t>،2011). طفره روی اینترنتی در سازمان ها موجب بروز مشکلاتی در سیستم های اطلاعاتی می گردد. چنین رفتارهای غیراخلاقی و خلاف قوانین و مقررات ناشی از استفاده ناصحیح از فناوری و تکنولوژی، خسارات زیادی را هم به کارکنان و هم به کارفرمایان سازمان ها وارد می کنند(ذوقبی، 2009). طفره روی اینترنتی تعریف اتلاف وقت در کار توسط یک کامپیوتر با تلفن هوشمند است(هنل و بلانچارد</w:t>
      </w:r>
      <w:r>
        <w:rPr>
          <w:rFonts w:cs="B Lotus"/>
          <w:sz w:val="28"/>
          <w:szCs w:val="28"/>
          <w:vertAlign w:val="superscript"/>
          <w:rtl/>
          <w:lang w:bidi="fa-IR"/>
        </w:rPr>
        <w:footnoteReference w:id="4"/>
      </w:r>
      <w:r>
        <w:rPr>
          <w:rFonts w:cs="B Lotus" w:hint="cs"/>
          <w:sz w:val="28"/>
          <w:szCs w:val="28"/>
          <w:rtl/>
          <w:lang w:bidi="fa-IR"/>
        </w:rPr>
        <w:t>، 2008). ماهیت طفره روی اینترنتی است که به نظر می رسد که در حال تغییر است که سبب می شود رفتارهای سایبری برای انواع سازمانی تبدیل به مشکلی عظیم گردد(ضرابی نیا، 1397). مطالعه طفره روی اینترنتی مهم است زیرا که این شایع ترین روش است که مردم زمان خود را در محل کار تلف می کنند، بنابراین می توان نقطه ورودی و خروجی احتمالی برای افزایش بهره وری باشد(نئوتن</w:t>
      </w:r>
      <w:r>
        <w:rPr>
          <w:rFonts w:cs="B Lotus"/>
          <w:sz w:val="28"/>
          <w:szCs w:val="28"/>
          <w:vertAlign w:val="superscript"/>
          <w:rtl/>
          <w:lang w:bidi="fa-IR"/>
        </w:rPr>
        <w:footnoteReference w:id="5"/>
      </w:r>
      <w:r>
        <w:rPr>
          <w:rFonts w:cs="B Lotus" w:hint="cs"/>
          <w:sz w:val="28"/>
          <w:szCs w:val="28"/>
          <w:rtl/>
          <w:lang w:bidi="fa-IR"/>
        </w:rPr>
        <w:t xml:space="preserve"> و همکاران،1999). این رفتارها جزء رفتارهای انحرافی و ضدتولید درون سازمانها محسوب می گردد . در این ارتباط، استیری(1390) بر اساس آمارهای طفره روی اینترنتی منتشر شده در سازمان های مختلف به نتایج زیر دست یافته است:</w:t>
      </w:r>
    </w:p>
    <w:p w:rsidR="00273E27" w:rsidRDefault="00273E27" w:rsidP="00273E27">
      <w:pPr>
        <w:numPr>
          <w:ilvl w:val="0"/>
          <w:numId w:val="1"/>
        </w:numPr>
        <w:bidi/>
        <w:jc w:val="lowKashida"/>
        <w:rPr>
          <w:rFonts w:cs="B Lotus" w:hint="cs"/>
          <w:sz w:val="28"/>
          <w:szCs w:val="28"/>
          <w:rtl/>
          <w:lang w:val="x-none"/>
        </w:rPr>
      </w:pPr>
      <w:r>
        <w:rPr>
          <w:rFonts w:cs="B Lotus" w:hint="cs"/>
          <w:sz w:val="28"/>
          <w:szCs w:val="28"/>
          <w:rtl/>
          <w:lang w:bidi="fa-IR"/>
        </w:rPr>
        <w:t>سازمان هایی که از طریق قوانین با طفره روی اینترنتی مقابله می کنند 15 درصد افزایش سود خواهند داشت.</w:t>
      </w:r>
    </w:p>
    <w:p w:rsidR="00273E27" w:rsidRDefault="00273E27" w:rsidP="00273E27">
      <w:pPr>
        <w:numPr>
          <w:ilvl w:val="0"/>
          <w:numId w:val="1"/>
        </w:numPr>
        <w:bidi/>
        <w:jc w:val="lowKashida"/>
        <w:rPr>
          <w:rFonts w:cs="B Lotus"/>
          <w:sz w:val="28"/>
          <w:szCs w:val="28"/>
          <w:lang w:val="x-none"/>
        </w:rPr>
      </w:pPr>
      <w:r>
        <w:rPr>
          <w:rFonts w:cs="B Lotus" w:hint="cs"/>
          <w:sz w:val="28"/>
          <w:szCs w:val="28"/>
          <w:rtl/>
          <w:lang w:bidi="fa-IR"/>
        </w:rPr>
        <w:t>در صنایع بریتانیا هر ساله 5/1 میلیارد پوند در اثر طفره روی اینترنتی کارکنان هزینه می شود.</w:t>
      </w:r>
    </w:p>
    <w:p w:rsidR="00273E27" w:rsidRDefault="00273E27" w:rsidP="00273E27">
      <w:pPr>
        <w:numPr>
          <w:ilvl w:val="0"/>
          <w:numId w:val="1"/>
        </w:numPr>
        <w:bidi/>
        <w:jc w:val="lowKashida"/>
        <w:rPr>
          <w:rFonts w:cs="B Lotus"/>
          <w:sz w:val="28"/>
          <w:szCs w:val="28"/>
          <w:lang w:val="x-none"/>
        </w:rPr>
      </w:pPr>
      <w:r>
        <w:rPr>
          <w:rFonts w:cs="B Lotus" w:hint="cs"/>
          <w:sz w:val="28"/>
          <w:szCs w:val="28"/>
          <w:rtl/>
          <w:lang w:bidi="fa-IR"/>
        </w:rPr>
        <w:t>30 درصد از سازمان هایی که مورد بررسی قرار گرفتند ادعا نمودند که یک روز در هفته به طور کامل به دلیل طفره روی اینترنتی کارکنان در سازمان به هدر می رود.</w:t>
      </w:r>
    </w:p>
    <w:p w:rsidR="00273E27" w:rsidRDefault="00273E27" w:rsidP="00273E27">
      <w:pPr>
        <w:bidi/>
        <w:jc w:val="lowKashida"/>
        <w:rPr>
          <w:rFonts w:cs="B Lotus"/>
          <w:sz w:val="28"/>
          <w:szCs w:val="28"/>
          <w:lang w:bidi="fa-IR"/>
        </w:rPr>
      </w:pPr>
      <w:r>
        <w:rPr>
          <w:rFonts w:cs="B Lotus" w:hint="cs"/>
          <w:sz w:val="28"/>
          <w:szCs w:val="28"/>
          <w:rtl/>
          <w:lang w:bidi="fa-IR"/>
        </w:rPr>
        <w:t>طراحی ساختار سازمانی با توجه به دست آوردهای حاصل از پیشرفت تکنولوژی، از طریق حذف مرزهای بین بخش ها تغییرات شگرفی کرده است. در سازمان های مدرن با حذف مرزهای بین بخش ها و افزایش ارتباطات، اکثر امور سازمان به صورت تحت وب و اینترنتی و اینترانتی انجام می پذیرد. در برخی اوقات پیشرفت تکنولوژی سبب کاهش تولید و بهره وری سازمانی شده است که طبق یافته ها استیری قوانین و مقرارت نیز در چارچوب ساختار سازمانی در طفره روی اینترنتی مرثر است.</w:t>
      </w:r>
    </w:p>
    <w:p w:rsidR="00273E27" w:rsidRDefault="00273E27" w:rsidP="00273E27">
      <w:pPr>
        <w:bidi/>
        <w:jc w:val="lowKashida"/>
        <w:rPr>
          <w:rFonts w:cs="B Lotus" w:hint="cs"/>
          <w:sz w:val="28"/>
          <w:szCs w:val="28"/>
          <w:rtl/>
          <w:lang w:bidi="fa-IR"/>
        </w:rPr>
      </w:pPr>
      <w:r>
        <w:rPr>
          <w:rFonts w:cs="B Lotus" w:hint="cs"/>
          <w:sz w:val="28"/>
          <w:szCs w:val="28"/>
          <w:rtl/>
          <w:lang w:bidi="fa-IR"/>
        </w:rPr>
        <w:lastRenderedPageBreak/>
        <w:t xml:space="preserve"> طبق نظر برنز و استاکر(1961)، سازمان ها به عنوان فاکتورهایی تلقی می شوند که در جست و جوی کسب موقعیت های ویژه ی در راستای عملکردهای مکانیکی و ارگانیکی هستند. سیستم مکانیکی، سیستمی متمرکز است. این سیستم از طریق یک سازمان ساختاری و سلسله مراتبی حمایت شده و سطوح بالایی از تعاریف شغلی، اختیارات و وظایف نیز در آن وجود دارد. وابستگی افراد مرئوس به افراد مافوق خود نیز در این میان بسیار زیاذ است. در این حیطه نوآوری و ابتکار کارمند نیز تشویق نمی شود و محدودیت هایی نیز در بخش تصمیم گیری و افزایش اختیارات در مقایسه با سازمان های ارگانیک وجود دار. بوروکراسی روش  سازماندهی و مدیریت است که در آن به رعایت قوانین و مقررات ثبت کلیه مکاتبات و جریان امور سلسه مراتب تخصص گرایی و ساختار رسمی تقسیم کار و روابط غیر شخصی توجه اکید می شود. سازمان ها به منظور نظم و ترتیب دادن به امور و انسجام بخشیدن برنامه ها درمسیر دستیابی به هدف ها از ساختار های بوروکراتیک استفاده می کنند. در اکثر کشورهای در حال توسعه دستگاه اداری دولت ها شامل طیف وسیعی از سازمان های بوروکراتیک است. این ساختار ها برای انجام دادن وظایف بسیار توانمند شناخته شده اند(ضرابی نیکجه، 1390) . </w:t>
      </w:r>
    </w:p>
    <w:p w:rsidR="00273E27" w:rsidRDefault="00273E27" w:rsidP="00273E27">
      <w:pPr>
        <w:bidi/>
        <w:jc w:val="lowKashida"/>
        <w:rPr>
          <w:rFonts w:cs="B Lotus" w:hint="cs"/>
          <w:sz w:val="28"/>
          <w:szCs w:val="28"/>
          <w:rtl/>
        </w:rPr>
      </w:pPr>
      <w:r>
        <w:rPr>
          <w:rFonts w:cs="B Lotus" w:hint="cs"/>
          <w:sz w:val="28"/>
          <w:szCs w:val="28"/>
          <w:rtl/>
          <w:lang w:bidi="fa-IR"/>
        </w:rPr>
        <w:t>پژوهشگران به عوامل گوناگونی در بروز رفتارهای انحرافی کارکنان در سازمان ها اشاره می کنند. به باور  آن ها این گونه رفتارها ناشی از ویژگی های افراد و محیط کاری آنها است(رابینز، 2012) افراد در محیط کار برخی تمایلات رفتاری را از خود بروز می دهند پژوهش ها بر کانون کنترل</w:t>
      </w:r>
      <w:r>
        <w:rPr>
          <w:rFonts w:cs="B Lotus"/>
          <w:sz w:val="28"/>
          <w:szCs w:val="28"/>
          <w:vertAlign w:val="superscript"/>
          <w:rtl/>
          <w:lang w:bidi="fa-IR"/>
        </w:rPr>
        <w:footnoteReference w:id="6"/>
      </w:r>
      <w:r>
        <w:rPr>
          <w:rFonts w:cs="B Lotus" w:hint="cs"/>
          <w:sz w:val="28"/>
          <w:szCs w:val="28"/>
          <w:rtl/>
          <w:lang w:bidi="fa-IR"/>
        </w:rPr>
        <w:t xml:space="preserve"> به عنوان یک ویژگی شخصیتی مؤثر بر موفقیت و شکست کارکنان اشاره دارند(روتر</w:t>
      </w:r>
      <w:r>
        <w:rPr>
          <w:rFonts w:cs="B Lotus"/>
          <w:sz w:val="28"/>
          <w:szCs w:val="28"/>
          <w:vertAlign w:val="superscript"/>
          <w:rtl/>
          <w:lang w:bidi="fa-IR"/>
        </w:rPr>
        <w:footnoteReference w:id="7"/>
      </w:r>
      <w:r>
        <w:rPr>
          <w:rFonts w:cs="B Lotus" w:hint="cs"/>
          <w:sz w:val="28"/>
          <w:szCs w:val="28"/>
          <w:rtl/>
          <w:lang w:bidi="fa-IR"/>
        </w:rPr>
        <w:t xml:space="preserve">،1972). </w:t>
      </w:r>
      <w:r>
        <w:rPr>
          <w:rFonts w:cs="B Lotus" w:hint="cs"/>
          <w:sz w:val="28"/>
          <w:szCs w:val="28"/>
          <w:rtl/>
        </w:rPr>
        <w:t xml:space="preserve">ﻧﻮﻋﻲ وﻳﮋﮔﻲ ﺷﺨﺼﻴﺘﻲ اﺳﺖ ﻛﻪ اﻓﺮاد ﺧﻮد را در راﺑﻄﻪ ﺑﺎ روﻳﺪادﻫﺎي زﻧﺪﮔﻲ ﻣﺴﺌﻮل ﻣﻲداﻧﻨﺪ. ﺑﺮاي ﻛﺎﻧﻮن ﻛﻨﺘﺮل ﺑﻪ دو بعد دروﻧﻲ و بیروﻧﻲ اﺷﺎره ﺷﺪه است (براری، 1390). </w:t>
      </w:r>
      <w:r>
        <w:rPr>
          <w:rFonts w:cs="B Lotus" w:hint="cs"/>
          <w:sz w:val="28"/>
          <w:szCs w:val="28"/>
          <w:rtl/>
          <w:lang w:bidi="fa-IR"/>
        </w:rPr>
        <w:t>کانون کنترل افراد در این تحقیق نقش تعدیل کنندگی را ایفا می کند .</w:t>
      </w:r>
    </w:p>
    <w:p w:rsidR="00273E27" w:rsidRDefault="00273E27" w:rsidP="00273E27">
      <w:pPr>
        <w:bidi/>
        <w:jc w:val="lowKashida"/>
        <w:rPr>
          <w:rFonts w:cs="B Lotus"/>
          <w:sz w:val="28"/>
          <w:szCs w:val="28"/>
          <w:lang w:bidi="fa-IR"/>
        </w:rPr>
      </w:pPr>
      <w:r>
        <w:rPr>
          <w:rFonts w:cs="B Lotus" w:hint="cs"/>
          <w:sz w:val="28"/>
          <w:szCs w:val="28"/>
          <w:rtl/>
          <w:lang w:bidi="fa-IR"/>
        </w:rPr>
        <w:t>اصطلاح کانون کنترل درونی و بیرونی به این نظریه اجتماعی-شخصیتی که افراد را برحسب شباهت آنها در نسبت دادن شکست یا موفقیت شان به علل درونی یا بیرونی توصیف می کند، اطلاق می گردد. افرادی وجود دارند که نوعاٌ مسولیت موفقیت ها و شکست های خود را می پذیرند این افراد دارای کانون کنترل درونی هستند. اﻓﺮادي ﻛﻪ از ﻧﻈر ﻛﺎﻧﻮن ﻛﻨﺘﺮل ﺑﻴﺮوﻧﻲاﻧﺪ، داراي ﺗﺼﻮر ﻋﺪم ﻛﻨﺘﺮل ﺑﺮ ﺳﺮﻧﻮﺷﺖ ﺧﻮﻳﺶ می باشند و ﻣﻌﺘﻘﺪ هستند آﻧﭽﻪ ﺑﺮ آﻧﺎن تاثیر ﻣﻲﮔﺬرد ﺣﺎﺻﻞ ﻋﻮاﻣﻞ ﺑﻴﺮوﻧﻲ ﭼﻮن ﺷﺎﻧﺲ، ﺳﺮﻧﻮﺷﺖ، اﻓﺮاد دﻳﮕﺮ و ﻧﻈﺎﻳرآنﻫﺎ اﺳﺖ (شايمی، 1390). افراد دارای کانون کنترل بیرونی حالت منفعل و غير فعال از خود نشان می دهند و به شدت بر اين گمان هستند كه نمي توانند بر مسائل مهمي كه در زندگي شان رخ مي دهد، كنترل مناسبي داشته باشد. اما افراد داراي كانون كنترل دروني، پويا، سخت كوش، مسئوليت پذير، اميدوار و خوش بين هستند (حقیقی کفاش،1393).</w:t>
      </w:r>
    </w:p>
    <w:p w:rsidR="00273E27" w:rsidRDefault="00273E27" w:rsidP="00273E27">
      <w:pPr>
        <w:bidi/>
        <w:jc w:val="lowKashida"/>
        <w:rPr>
          <w:rFonts w:cs="B Lotus" w:hint="cs"/>
          <w:sz w:val="28"/>
          <w:szCs w:val="28"/>
          <w:rtl/>
          <w:lang w:bidi="fa-IR"/>
        </w:rPr>
      </w:pPr>
      <w:r>
        <w:rPr>
          <w:rFonts w:cs="B Lotus" w:hint="cs"/>
          <w:sz w:val="28"/>
          <w:szCs w:val="28"/>
          <w:rtl/>
          <w:lang w:bidi="fa-IR"/>
        </w:rPr>
        <w:lastRenderedPageBreak/>
        <w:t>دانشگاه آزاد یکی از سازمان هایی هست که فعالیت های گسترده ای در زمینه های مختلف دارد. شرایط این سازمان باید به گونه ای باشد که کارکنان کمتر درگیر طفره روی اینترنتی شوند تا عملکرد ان ها و میزان و کیفیت پاسخگویی کارکنان به دانشجویان  به این دانشگاه افزایش پیدا کند و دانشگاه بتواند به اهداف خود دست یابد. با این وجود، در ادبیات کنونی موجود در زمینه طفره وری اینترنتی و به ویژه حوزه کارمندان بخصوص دانشگاه ، مطالعات بسیار اندکی در ارتباط با بررسی روابط درک از بوروکراتیک بودن ساختار با طفره روی اینترنتی با نقش تعدیل کنندگی کانون کنترل افراد وجود دارد. لذا در پژوهش حاضر نگارنده به دنبال این است که ایا رابطه ای بین درک از بوروکراتیک بودن ساختار سازمانی با طفره روی اینترنتی وجود دارد؟ و نقش تعدیل کنندگی کانون کنترل افراد در این رابطه چگونه است؟</w:t>
      </w:r>
    </w:p>
    <w:p w:rsidR="00935D56" w:rsidRDefault="00935D56">
      <w:bookmarkStart w:id="1" w:name="_GoBack"/>
      <w:bookmarkEnd w:id="1"/>
    </w:p>
    <w:sectPr w:rsidR="00935D56" w:rsidSect="0073419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617E" w:rsidRDefault="0009617E" w:rsidP="00273E27">
      <w:r>
        <w:separator/>
      </w:r>
    </w:p>
  </w:endnote>
  <w:endnote w:type="continuationSeparator" w:id="0">
    <w:p w:rsidR="0009617E" w:rsidRDefault="0009617E" w:rsidP="00273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617E" w:rsidRDefault="0009617E" w:rsidP="00273E27">
      <w:r>
        <w:separator/>
      </w:r>
    </w:p>
  </w:footnote>
  <w:footnote w:type="continuationSeparator" w:id="0">
    <w:p w:rsidR="0009617E" w:rsidRDefault="0009617E" w:rsidP="00273E27">
      <w:r>
        <w:continuationSeparator/>
      </w:r>
    </w:p>
  </w:footnote>
  <w:footnote w:id="1">
    <w:p w:rsidR="00273E27" w:rsidRDefault="00273E27" w:rsidP="00273E27">
      <w:pPr>
        <w:pStyle w:val="FootnoteText"/>
        <w:rPr>
          <w:rFonts w:hint="cs"/>
          <w:sz w:val="20"/>
          <w:szCs w:val="20"/>
          <w:rtl/>
          <w:lang w:bidi="fa-IR"/>
        </w:rPr>
      </w:pPr>
      <w:r>
        <w:rPr>
          <w:rStyle w:val="FootnoteReference"/>
        </w:rPr>
        <w:footnoteRef/>
      </w:r>
      <w:r>
        <w:rPr>
          <w:rtl/>
        </w:rPr>
        <w:t xml:space="preserve"> </w:t>
      </w:r>
      <w:proofErr w:type="spellStart"/>
      <w:r>
        <w:rPr>
          <w:lang w:bidi="fa-IR"/>
        </w:rPr>
        <w:t>Zoghbi</w:t>
      </w:r>
      <w:proofErr w:type="spellEnd"/>
      <w:r>
        <w:rPr>
          <w:lang w:bidi="fa-IR"/>
        </w:rPr>
        <w:t xml:space="preserve"> &amp; </w:t>
      </w:r>
      <w:proofErr w:type="spellStart"/>
      <w:r>
        <w:rPr>
          <w:lang w:bidi="fa-IR"/>
        </w:rPr>
        <w:t>Viera</w:t>
      </w:r>
      <w:proofErr w:type="spellEnd"/>
      <w:r>
        <w:rPr>
          <w:lang w:bidi="fa-IR"/>
        </w:rPr>
        <w:t>-Arms</w:t>
      </w:r>
    </w:p>
  </w:footnote>
  <w:footnote w:id="2">
    <w:p w:rsidR="00273E27" w:rsidRDefault="00273E27" w:rsidP="00273E27">
      <w:pPr>
        <w:pStyle w:val="FootnoteText"/>
        <w:rPr>
          <w:lang w:bidi="fa-IR"/>
        </w:rPr>
      </w:pPr>
      <w:r>
        <w:rPr>
          <w:rStyle w:val="FootnoteReference"/>
        </w:rPr>
        <w:footnoteRef/>
      </w:r>
      <w:r>
        <w:rPr>
          <w:rtl/>
        </w:rPr>
        <w:t xml:space="preserve"> </w:t>
      </w:r>
      <w:proofErr w:type="spellStart"/>
      <w:proofErr w:type="gramStart"/>
      <w:r>
        <w:rPr>
          <w:lang w:bidi="fa-IR"/>
        </w:rPr>
        <w:t>Henle,Kohut</w:t>
      </w:r>
      <w:proofErr w:type="spellEnd"/>
      <w:proofErr w:type="gramEnd"/>
      <w:r>
        <w:rPr>
          <w:lang w:bidi="fa-IR"/>
        </w:rPr>
        <w:t>&amp; Booth</w:t>
      </w:r>
    </w:p>
  </w:footnote>
  <w:footnote w:id="3">
    <w:p w:rsidR="00273E27" w:rsidRDefault="00273E27" w:rsidP="00273E27">
      <w:pPr>
        <w:pStyle w:val="FootnoteText"/>
        <w:rPr>
          <w:lang w:bidi="fa-IR"/>
        </w:rPr>
      </w:pPr>
      <w:r>
        <w:rPr>
          <w:rStyle w:val="FootnoteReference"/>
        </w:rPr>
        <w:footnoteRef/>
      </w:r>
      <w:r>
        <w:rPr>
          <w:lang w:bidi="fa-IR"/>
        </w:rPr>
        <w:t>Kim &amp; Byrne</w:t>
      </w:r>
    </w:p>
  </w:footnote>
  <w:footnote w:id="4">
    <w:p w:rsidR="00273E27" w:rsidRDefault="00273E27" w:rsidP="00273E27">
      <w:pPr>
        <w:pStyle w:val="FootnoteText"/>
        <w:rPr>
          <w:lang w:bidi="fa-IR"/>
        </w:rPr>
      </w:pPr>
      <w:r>
        <w:rPr>
          <w:rStyle w:val="FootnoteReference"/>
        </w:rPr>
        <w:footnoteRef/>
      </w:r>
      <w:r>
        <w:rPr>
          <w:rtl/>
        </w:rPr>
        <w:t xml:space="preserve"> </w:t>
      </w:r>
      <w:r>
        <w:rPr>
          <w:lang w:bidi="fa-IR"/>
        </w:rPr>
        <w:t xml:space="preserve">Henle &amp; </w:t>
      </w:r>
      <w:proofErr w:type="spellStart"/>
      <w:r>
        <w:rPr>
          <w:lang w:bidi="fa-IR"/>
        </w:rPr>
        <w:t>Belanchard</w:t>
      </w:r>
      <w:proofErr w:type="spellEnd"/>
    </w:p>
  </w:footnote>
  <w:footnote w:id="5">
    <w:p w:rsidR="00273E27" w:rsidRDefault="00273E27" w:rsidP="00273E27">
      <w:pPr>
        <w:pStyle w:val="FootnoteText"/>
        <w:rPr>
          <w:lang w:bidi="fa-IR"/>
        </w:rPr>
      </w:pPr>
      <w:r>
        <w:rPr>
          <w:rStyle w:val="FootnoteReference"/>
        </w:rPr>
        <w:footnoteRef/>
      </w:r>
      <w:r>
        <w:rPr>
          <w:rtl/>
        </w:rPr>
        <w:t xml:space="preserve"> </w:t>
      </w:r>
      <w:proofErr w:type="spellStart"/>
      <w:r>
        <w:rPr>
          <w:lang w:bidi="fa-IR"/>
        </w:rPr>
        <w:t>Naughton</w:t>
      </w:r>
      <w:proofErr w:type="spellEnd"/>
    </w:p>
  </w:footnote>
  <w:footnote w:id="6">
    <w:p w:rsidR="00273E27" w:rsidRDefault="00273E27" w:rsidP="00273E27">
      <w:pPr>
        <w:pStyle w:val="FootnoteText"/>
        <w:rPr>
          <w:lang w:bidi="fa-IR"/>
        </w:rPr>
      </w:pPr>
      <w:r>
        <w:rPr>
          <w:rStyle w:val="FootnoteReference"/>
        </w:rPr>
        <w:footnoteRef/>
      </w:r>
      <w:r>
        <w:rPr>
          <w:rtl/>
        </w:rPr>
        <w:t xml:space="preserve"> </w:t>
      </w:r>
      <w:r>
        <w:rPr>
          <w:sz w:val="18"/>
          <w:szCs w:val="18"/>
          <w:lang w:bidi="fa-IR"/>
        </w:rPr>
        <w:t>Locus of control</w:t>
      </w:r>
    </w:p>
  </w:footnote>
  <w:footnote w:id="7">
    <w:p w:rsidR="00273E27" w:rsidRDefault="00273E27" w:rsidP="00273E27">
      <w:pPr>
        <w:pStyle w:val="FootnoteText"/>
        <w:rPr>
          <w:lang w:bidi="fa-IR"/>
        </w:rPr>
      </w:pPr>
      <w:r>
        <w:rPr>
          <w:rStyle w:val="FootnoteReference"/>
        </w:rPr>
        <w:footnoteRef/>
      </w:r>
      <w:r>
        <w:rPr>
          <w:rtl/>
        </w:rPr>
        <w:t xml:space="preserve"> </w:t>
      </w:r>
      <w:r>
        <w:rPr>
          <w:sz w:val="18"/>
          <w:szCs w:val="18"/>
          <w:lang w:bidi="fa-IR"/>
        </w:rPr>
        <w:t>Rotter</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9464BF"/>
    <w:multiLevelType w:val="hybridMultilevel"/>
    <w:tmpl w:val="AEC4312C"/>
    <w:lvl w:ilvl="0" w:tplc="E76A7B46">
      <w:numFmt w:val="bullet"/>
      <w:lvlText w:val="-"/>
      <w:lvlJc w:val="left"/>
      <w:pPr>
        <w:ind w:left="1080" w:hanging="360"/>
      </w:pPr>
      <w:rPr>
        <w:rFonts w:ascii="Times New Roman" w:eastAsia="Times New Roman" w:hAnsi="Times New Roman" w:cs="B Zar"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E27"/>
    <w:rsid w:val="0009617E"/>
    <w:rsid w:val="00273E27"/>
    <w:rsid w:val="00734198"/>
    <w:rsid w:val="00935D5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111DA7-12A0-4C08-8BD5-16337B82D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E27"/>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Char Char,Footnote Text فارسي Char,پاورقي Char,متن زيرنويس Char,متن زيرنويس Char Char Char Char Char Char,پاورقي Char Char Char,Farsi Char,پایان نامه Char,Footnote Text Char Char Char,Footnote Text Char2 Char,caption Char"/>
    <w:basedOn w:val="DefaultParagraphFont"/>
    <w:link w:val="FootnoteText"/>
    <w:uiPriority w:val="99"/>
    <w:semiHidden/>
    <w:locked/>
    <w:rsid w:val="00273E27"/>
    <w:rPr>
      <w:rFonts w:ascii="Times New Roman" w:eastAsia="Times New Roman" w:hAnsi="Times New Roman" w:cs="Times New Roman"/>
      <w:lang w:bidi="ar-SA"/>
    </w:rPr>
  </w:style>
  <w:style w:type="paragraph" w:styleId="FootnoteText">
    <w:name w:val="footnote text"/>
    <w:aliases w:val="Char,Footnote Text فارسي,پاورقي,متن زيرنويس,متن زيرنويس Char Char Char Char Char,پاورقي Char Char,Farsi,پایان نامه,Footnote Text Char Char,Char Char Char Char Char Char Char Char Char Char Char Char Char1,Footnote Text Char2,caption"/>
    <w:basedOn w:val="Normal"/>
    <w:link w:val="FootnoteTextChar"/>
    <w:uiPriority w:val="99"/>
    <w:semiHidden/>
    <w:unhideWhenUsed/>
    <w:qFormat/>
    <w:rsid w:val="00273E27"/>
    <w:rPr>
      <w:sz w:val="22"/>
      <w:szCs w:val="22"/>
    </w:rPr>
  </w:style>
  <w:style w:type="character" w:customStyle="1" w:styleId="FootnoteTextChar1">
    <w:name w:val="Footnote Text Char1"/>
    <w:basedOn w:val="DefaultParagraphFont"/>
    <w:uiPriority w:val="99"/>
    <w:semiHidden/>
    <w:rsid w:val="00273E27"/>
    <w:rPr>
      <w:rFonts w:ascii="Times New Roman" w:eastAsia="Times New Roman" w:hAnsi="Times New Roman" w:cs="Times New Roman"/>
      <w:sz w:val="20"/>
      <w:szCs w:val="20"/>
      <w:lang w:bidi="ar-SA"/>
    </w:rPr>
  </w:style>
  <w:style w:type="character" w:customStyle="1" w:styleId="Style2Char">
    <w:name w:val="Style2 Char"/>
    <w:link w:val="Style2"/>
    <w:locked/>
    <w:rsid w:val="00273E27"/>
    <w:rPr>
      <w:rFonts w:ascii="Times New Roman" w:hAnsi="Times New Roman" w:cs="B Lotus"/>
      <w:szCs w:val="24"/>
    </w:rPr>
  </w:style>
  <w:style w:type="paragraph" w:customStyle="1" w:styleId="Style2">
    <w:name w:val="Style2"/>
    <w:basedOn w:val="Normal"/>
    <w:link w:val="Style2Char"/>
    <w:qFormat/>
    <w:rsid w:val="00273E27"/>
    <w:pPr>
      <w:tabs>
        <w:tab w:val="left" w:pos="566"/>
        <w:tab w:val="left" w:leader="dot" w:pos="8505"/>
        <w:tab w:val="left" w:leader="dot" w:pos="8789"/>
      </w:tabs>
      <w:autoSpaceDE w:val="0"/>
      <w:autoSpaceDN w:val="0"/>
      <w:bidi/>
      <w:adjustRightInd w:val="0"/>
      <w:spacing w:after="100" w:afterAutospacing="1"/>
      <w:ind w:firstLine="680"/>
      <w:contextualSpacing/>
      <w:jc w:val="both"/>
    </w:pPr>
    <w:rPr>
      <w:rFonts w:eastAsiaTheme="minorHAnsi" w:cs="B Lotus"/>
      <w:sz w:val="22"/>
      <w:lang w:bidi="fa-IR"/>
    </w:rPr>
  </w:style>
  <w:style w:type="character" w:styleId="FootnoteReference">
    <w:name w:val="footnote reference"/>
    <w:aliases w:val="شماره زيرنويس,Footnote text,مرجع پاورقي,Footnote,Omid Footnote,ÔãÇÑå ÒíÑäæíÓ,زيرنويس"/>
    <w:uiPriority w:val="99"/>
    <w:semiHidden/>
    <w:unhideWhenUsed/>
    <w:qFormat/>
    <w:rsid w:val="00273E2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498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1165</Words>
  <Characters>6645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2022-02-07T06:52:00Z</dcterms:created>
  <dcterms:modified xsi:type="dcterms:W3CDTF">2022-02-07T06:53:00Z</dcterms:modified>
</cp:coreProperties>
</file>